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Guia de Onboarding de Novos Associados</w:t>
      </w:r>
    </w:p>
    <w:p>
      <w:pPr>
        <w:spacing w:after="240" w:before="0"/>
      </w:pPr>
      <w:r>
        <w:rPr>
          <w:rFonts w:ascii="Calibri" w:cs="Calibri" w:eastAsia="Calibri" w:hAnsi="Calibri"/>
          <w:color w:val="1F4E79"/>
          <w:sz w:val="22"/>
          <w:szCs w:val="22"/>
        </w:rPr>
        <w:t xml:space="preserve">Programa Atena · Pilar Comercial · Jornada estruturada para os primeiros 30 dias do associado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1. Como usar este guia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Este guia organiza os primeiros 30 dias de um novo associado na entidade. "Onboarding" (palavra em inglês traduzida como integração inicial) é o processo de receber um empresário recém-associado e garantir que ele comece a usar os serviços desde o primeiro dia. Um onboarding bem-feito reduz cancelamentos, aumenta a satisfação e gera as primeiras indicações.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O guia tem três partes práticas: o checklist interno (o que a entidade prepara antes), a jornada do empresário em 30 dias com 4 marcos (D+1, D+7, D+15, D+30) e 3 modelos de mensagem prontos para adaptar. No final, indicadores para medir se o onboarding está funcionando.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2. Por que onboarding importa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Empresário que não usa nenhum serviço nos primeiros 30 dias tem muito mais chance de cancelar a associação no primeiro ano. Os 30 dias iniciais são quando ele decide se a entidade vai fazer parte da rotina dele ou se vai virar uma cobrança no boleto que aparece todo mês. Onboarding estruturado vira esse jogo.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3. Antes de começar — Checklist interno da entidade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O que precisa estar pronto no dia em que o empresário assina a associação. Sem isso, o D+1 já começa torto.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Cadastro do empresário e da empresa no sistema da entidade, com dados completos e canal de contato confirmado (WhatsApp ou e-mail).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Definição de quem é o responsável pelo acompanhamento dos 30 dias na entidade — sempre uma pessoa nomeada, não "a equipe".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Acesso liberado aos serviços contratados (plataformas, sistemas de gestão de relacionamento, materiais digitais).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Material de boas-vindas digital pronto: documento ou página com lista dos serviços disponíveis, contatos de cada área e horários de atendimento.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Convite agendado para o próximo evento da entidade (treinamento, encontro de associados, reunião setorial), com data já marcada na agenda do empresário.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Tarefas registradas em calendário: D+1 (boas-vindas), D+7 (verificar acesso), D+15 (check-in), D+30 (balanço). Sem isso, os toques caem no esquecimento.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4. Jornada do empresário em 30 dias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Quatro marcos espaçados, com ações claras em cada um. O empresário recebe contato em D+1, D+7, D+15 e D+30. Nada além disso — passar dessa frequência vira spam, ficar abaixo vira esquecimento.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50"/>
        <w:gridCol w:w="3403"/>
        <w:gridCol w:w="2552"/>
        <w:gridCol w:w="2555"/>
      </w:tblGrid>
      <w:tr>
        <w:trPr>
          <w:cantSplit/>
          <w:tblHeader/>
        </w:trPr>
        <w:tc>
          <w:tcPr>
            <w:tcW w:type="dxa" w:w="85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Marco</w:t>
            </w:r>
          </w:p>
        </w:tc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Ação da entidade</w:t>
            </w:r>
          </w:p>
        </w:tc>
        <w:tc>
          <w:tcPr>
            <w:tcW w:type="dxa" w:w="255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O que o empresário recebe</w:t>
            </w:r>
          </w:p>
        </w:tc>
        <w:tc>
          <w:tcPr>
            <w:tcW w:type="dxa" w:w="2555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Resultado esperado</w:t>
            </w:r>
          </w:p>
        </w:tc>
      </w:tr>
      <w:tr>
        <w:trPr>
          <w:cantSplit/>
        </w:trPr>
        <w:tc>
          <w:tcPr>
            <w:tcW w:type="dxa" w:w="85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D+1</w:t>
            </w:r>
          </w:p>
        </w:tc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Enviar mensagem de boas-vindas (modelo 5.1) com o documento digital de orientação e o contato direto do responsável pelo acompanhamento.</w:t>
            </w:r>
          </w:p>
        </w:tc>
        <w:tc>
          <w:tcPr>
            <w:tcW w:type="dxa" w:w="255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Mensagem de boas-vindas, material com a lista de serviços disponíveis e canal direto com a entidade.</w:t>
            </w:r>
          </w:p>
        </w:tc>
        <w:tc>
          <w:tcPr>
            <w:tcW w:type="dxa" w:w="2555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Empresário sabe quem procurar e como começar.</w:t>
            </w:r>
          </w:p>
        </w:tc>
      </w:tr>
      <w:tr>
        <w:trPr>
          <w:cantSplit/>
        </w:trPr>
        <w:tc>
          <w:tcPr>
            <w:tcW w:type="dxa" w:w="85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D+7</w:t>
            </w:r>
          </w:p>
        </w:tc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Conferir se o empresário acessou ao menos um serviço ou material. Se não acessou, ligar para identificar a barreira (acesso, dúvida, falta de tempo).</w:t>
            </w:r>
          </w:p>
        </w:tc>
        <w:tc>
          <w:tcPr>
            <w:tcW w:type="dxa" w:w="255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Contato pontual da entidade, sem cobrança, com foco em apoiar.</w:t>
            </w:r>
          </w:p>
        </w:tc>
        <w:tc>
          <w:tcPr>
            <w:tcW w:type="dxa" w:w="2555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Primeira utilização real de um serviço da entidade.</w:t>
            </w:r>
          </w:p>
        </w:tc>
      </w:tr>
      <w:tr>
        <w:trPr>
          <w:cantSplit/>
        </w:trPr>
        <w:tc>
          <w:tcPr>
            <w:tcW w:type="dxa" w:w="85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D+15</w:t>
            </w:r>
          </w:p>
        </w:tc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Enviar mensagem de check-in (modelo 5.2) com uma pergunta aberta sobre como tem sido a experiência. Ouvir e ajustar.</w:t>
            </w:r>
          </w:p>
        </w:tc>
        <w:tc>
          <w:tcPr>
            <w:tcW w:type="dxa" w:w="255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Mensagem curta abrindo espaço para feedback sincero.</w:t>
            </w:r>
          </w:p>
        </w:tc>
        <w:tc>
          <w:tcPr>
            <w:tcW w:type="dxa" w:w="2555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Identificar qualquer atrito antes que vire motivo de cancelamento.</w:t>
            </w:r>
          </w:p>
        </w:tc>
      </w:tr>
      <w:tr>
        <w:trPr>
          <w:cantSplit/>
        </w:trPr>
        <w:tc>
          <w:tcPr>
            <w:tcW w:type="dxa" w:w="85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D+30</w:t>
            </w:r>
          </w:p>
        </w:tc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Enviar mensagem de reconhecimento (modelo 5.3) com balanço dos primeiros 30 dias e convite para o próximo evento ou serviço-chave.</w:t>
            </w:r>
          </w:p>
        </w:tc>
        <w:tc>
          <w:tcPr>
            <w:tcW w:type="dxa" w:w="255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Reconhecimento pelo primeiro mês como associado e direcionamento para os próximos 30 dias.</w:t>
            </w:r>
          </w:p>
        </w:tc>
        <w:tc>
          <w:tcPr>
            <w:tcW w:type="dxa" w:w="2555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Empresário se sente parte da entidade e tem clareza dos próximos passos.</w:t>
            </w:r>
          </w:p>
        </w:tc>
      </w:tr>
    </w:tbl>
    <w:p>
      <w:pPr>
        <w:spacing w:after="100" w:before="60" w:line="30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Em D+7, se o empresário não tiver acessado nada, não envie cobrança por escrito — ligue. Empresário que não respondeu ao primeiro contato e ainda recebe cobrança de uso costuma cancelar a associação por incômodo.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5. Modelos de mensagem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Três modelos prontos para adaptar ao nome da entidade, do empresário e dos serviços oferecidos. Os modelos são para canal WhatsApp por padrão — para e-mail, ajuste o assunto e a saudação.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5.1. Boas-vindas (D+1)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Enviar no dia útil seguinte ao fechamento da associação. Tom acolhedor e direto.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Bem-vindo(a) à [Nome da entidade],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 do empresário]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! Aqui é a Ana — sou a sua responsável pelo acompanhamento nos primeiros 30 dias. Estou te mandando o material de boas-vindas com a lista dos serviços que você tem acesso a partir de hoje: [link ou anexo]. Qualquer dúvida, pode me chamar por aqui. Bem-vindo(a) à casa!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5.2. Check-in (D+15)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Enviar 15 dias após a associação. Pergunta aberta, sem julgamento.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Oi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, já se passaram 15 dias da sua chegada à [Nome da entidade]! Queria saber como tem sido até aqui: você já conseguiu usar algum dos serviços? Tem alguma coisa que ficou confusa ou que poderíamos te ajudar a destravar? Pode ser bem honesto na resposta — o seu retorno é o que me ajuda a melhorar a integração para os próximos.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5.3. Reconhecimento e balanço (D+30)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Enviar no fechamento dos 30 dias. Tom de reconhecimento + direcionamento para o próximo ciclo.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, hoje fecha o seu primeiro mês como associado(a) da [Nome da entidade] — parabéns por dar esse passo pela sua empresa! Nesses 30 dias você acessou [serviço usado / participou do evento X]. Para os próximos 30, quero te convidar para [próximo evento / próximo serviço-chave] em [data]. Posso te confirmar a participação?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6. Indicadores para medir o onboarding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Sem medição não dá para saber se o onboarding está funcionando. Cinco indicadores simples bastam — meça por levas mensais de novos associados.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3"/>
        <w:gridCol w:w="4254"/>
        <w:gridCol w:w="1703"/>
      </w:tblGrid>
      <w:tr>
        <w:trPr>
          <w:cantSplit/>
          <w:tblHeader/>
        </w:trPr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Indicador</w:t>
            </w:r>
          </w:p>
        </w:tc>
        <w:tc>
          <w:tcPr>
            <w:tcW w:type="dxa" w:w="4254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Como medir</w:t>
            </w:r>
          </w:p>
        </w:tc>
        <w:tc>
          <w:tcPr>
            <w:tcW w:type="dxa" w:w="17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Meta sugerida</w:t>
            </w:r>
          </w:p>
        </w:tc>
      </w:tr>
      <w:tr>
        <w:trPr>
          <w:cantSplit/>
        </w:trPr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Taxa de resposta D+1</w:t>
            </w:r>
          </w:p>
        </w:tc>
        <w:tc>
          <w:tcPr>
            <w:tcW w:type="dxa" w:w="4254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% de empresários que responderam à mensagem de boas-vindas em até 3 dias úteis.</w:t>
            </w:r>
          </w:p>
        </w:tc>
        <w:tc>
          <w:tcPr>
            <w:tcW w:type="dxa" w:w="17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Acima de 70%</w:t>
            </w:r>
          </w:p>
        </w:tc>
      </w:tr>
      <w:tr>
        <w:trPr>
          <w:cantSplit/>
        </w:trPr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Primeiro acesso a serviço</w:t>
            </w:r>
          </w:p>
        </w:tc>
        <w:tc>
          <w:tcPr>
            <w:tcW w:type="dxa" w:w="4254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% que acessou pelo menos um serviço ou material da entidade nos primeiros 7 dias.</w:t>
            </w:r>
          </w:p>
        </w:tc>
        <w:tc>
          <w:tcPr>
            <w:tcW w:type="dxa" w:w="17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Acima de 50%</w:t>
            </w:r>
          </w:p>
        </w:tc>
      </w:tr>
      <w:tr>
        <w:trPr>
          <w:cantSplit/>
        </w:trPr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Taxa de check-in D+15</w:t>
            </w:r>
          </w:p>
        </w:tc>
        <w:tc>
          <w:tcPr>
            <w:tcW w:type="dxa" w:w="4254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% que respondeu à mensagem de check-in com algum retorno (positivo ou negativo).</w:t>
            </w:r>
          </w:p>
        </w:tc>
        <w:tc>
          <w:tcPr>
            <w:tcW w:type="dxa" w:w="17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Acima de 60%</w:t>
            </w:r>
          </w:p>
        </w:tc>
      </w:tr>
      <w:tr>
        <w:trPr>
          <w:cantSplit/>
        </w:trPr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Participação em evento nos 30 dias</w:t>
            </w:r>
          </w:p>
        </w:tc>
        <w:tc>
          <w:tcPr>
            <w:tcW w:type="dxa" w:w="4254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% que confirmou presença em ao menos um evento, treinamento ou reunião setorial.</w:t>
            </w:r>
          </w:p>
        </w:tc>
        <w:tc>
          <w:tcPr>
            <w:tcW w:type="dxa" w:w="17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Acima de 40%</w:t>
            </w:r>
          </w:p>
        </w:tc>
      </w:tr>
      <w:tr>
        <w:trPr>
          <w:cantSplit/>
        </w:trPr>
        <w:tc>
          <w:tcPr>
            <w:tcW w:type="dxa" w:w="34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Nota de satisfação D+30</w:t>
            </w:r>
          </w:p>
        </w:tc>
        <w:tc>
          <w:tcPr>
            <w:tcW w:type="dxa" w:w="4254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Pergunte uma nota de 1 a 5 sobre os primeiros 30 dias na mensagem de balanço.</w:t>
            </w:r>
          </w:p>
        </w:tc>
        <w:tc>
          <w:tcPr>
            <w:tcW w:type="dxa" w:w="1703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Média acima de 4,0</w:t>
            </w:r>
          </w:p>
        </w:tc>
      </w:tr>
    </w:tbl>
    <w:p>
      <w:pPr>
        <w:spacing w:after="100" w:before="6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Quando um indicador fica abaixo da meta por dois meses seguidos, é sinal de que o onboarding precisa de ajuste — comece olhando o que aconteceu na semana entre D+7 e D+15, costuma ser ali que o empresário desengaja.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Este guia é um piloto — ajuste os marcos, mensagens e indicadores conforme a realidade da sua entidade após os primeiros 3 ciclos de uso.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  <w:outlineLvl w:val="0"/>
    </w:pPr>
    <w:rPr>
      <w:rFonts w:ascii="Calibri" w:cs="Calibri" w:eastAsia="Calibri" w:hAnsi="Calibri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60" w:before="14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40" w:before="100"/>
      <w:outlineLvl w:val="2"/>
    </w:pPr>
    <w:rPr>
      <w:rFonts w:ascii="Calibri" w:cs="Calibri" w:eastAsia="Calibri" w:hAnsi="Calibri"/>
      <w:b/>
      <w:bCs/>
      <w:color w:val="1F4E7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07CD9A300164F9A0C9F60C1F451CE" ma:contentTypeVersion="16" ma:contentTypeDescription="Crie um novo documento." ma:contentTypeScope="" ma:versionID="6ad540db23f66a55fbf4042db9333136">
  <xsd:schema xmlns:xsd="http://www.w3.org/2001/XMLSchema" xmlns:xs="http://www.w3.org/2001/XMLSchema" xmlns:p="http://schemas.microsoft.com/office/2006/metadata/properties" xmlns:ns2="145d86be-3981-48b2-81dd-5c1273c1f72f" xmlns:ns3="7d6a1d81-ebe6-4f3a-b506-94fd4d97f142" targetNamespace="http://schemas.microsoft.com/office/2006/metadata/properties" ma:root="true" ma:fieldsID="914d80bed9fb1a601b4fcaaca18559bc" ns2:_="" ns3:_="">
    <xsd:import namespace="145d86be-3981-48b2-81dd-5c1273c1f72f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86be-3981-48b2-81dd-5c1273c1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f5c86-241d-48ac-924e-b49d6b0eb69a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a1d81-ebe6-4f3a-b506-94fd4d97f142" xsi:nil="true"/>
    <lcf76f155ced4ddcb4097134ff3c332f xmlns="145d86be-3981-48b2-81dd-5c1273c1f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AB2D58-B783-4FF7-923B-37E276B8C49A}"/>
</file>

<file path=customXml/itemProps2.xml><?xml version="1.0" encoding="utf-8"?>
<ds:datastoreItem xmlns:ds="http://schemas.openxmlformats.org/officeDocument/2006/customXml" ds:itemID="{13E0618F-F30F-46D8-BECA-3439B5FA4253}"/>
</file>

<file path=customXml/itemProps3.xml><?xml version="1.0" encoding="utf-8"?>
<ds:datastoreItem xmlns:ds="http://schemas.openxmlformats.org/officeDocument/2006/customXml" ds:itemID="{789BAEF4-86C1-43FF-BB9D-E9F2FC3A5B4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- Atena - Guia de Onboarding - PILOTO</dc:title>
  <dc:creator>Genesis Startups</dc:creator>
  <dc:description>Guia de Onboarding de Novos Associados — Programa Atena</dc:description>
  <cp:lastModifiedBy>Un-named</cp:lastModifiedBy>
  <cp:revision>1</cp:revision>
  <dcterms:created xsi:type="dcterms:W3CDTF">2026-05-15T21:17:20Z</dcterms:created>
  <dcterms:modified xsi:type="dcterms:W3CDTF">2026-05-15T21:17:20Z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0x01010066507CD9A300164F9A0C9F60C1F451CE</vt:lpwstr>
  </property>
</Properties>
</file>